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55 vom 17. Dezember 2019</w:t>
      </w:r>
    </w:p>
    <w:p>
      <w:r>
        <w:t>GR Gerichte, 2019-12-17, DE</w:t>
      </w:r>
    </w:p>
    <w:p>
      <w:r>
        <w:rPr>
          <w:b/>
        </w:rPr>
        <w:t xml:space="preserve">Quelle: </w:t>
      </w:r>
      <w:r>
        <w:t>https://mcp.opencaselaw.ch/entscheid/gr_gerichte_KSK 2019 55</w:t>
      </w:r>
    </w:p>
    <w:p>
      <w:r>
        <w:t>FR: GR_GERICHTE KSK 2019 55 du 17 décembre 2019</w:t>
      </w:r>
    </w:p>
    <w:p>
      <w:r>
        <w:t>IT: GR_GERICHTE KSK 2019 55 del 17 dicembre 2019</w:t>
      </w:r>
    </w:p>
    <w:p>
      <w:pPr>
        <w:pStyle w:val="Heading2"/>
      </w:pPr>
      <w:r>
        <w:t>Regeste</w:t>
      </w:r>
    </w:p>
    <w:p>
      <w:r>
        <w:t>Arrestvollzug | Aufsicht Beschwerde (SchKG 17 Abs. 1)</w:t>
      </w:r>
    </w:p>
    <w:p>
      <w:pPr>
        <w:pStyle w:val="Heading2"/>
      </w:pPr>
      <w:r>
        <w:t>Erwägungen</w:t>
      </w:r>
    </w:p>
    <w:p>
      <w:r>
        <w:rPr>
          <w:b/>
        </w:rPr>
        <w:t>E. 3</w:t>
      </w:r>
    </w:p>
    <w:p>
      <w:r>
        <w:t>Der Beschwerde sei aufschiebende Wirkung zu erteilen.</w:t>
      </w:r>
    </w:p>
    <w:p>
      <w:r>
        <w:rPr>
          <w:b/>
        </w:rPr>
        <w:t>E. 4</w:t>
      </w:r>
    </w:p>
    <w:p>
      <w:r>
        <w:t>/ 7 2. Es sei der Antrag der Beschwerdeführerin auf aufschiebende Wirkung der Beschwerde abzuweisen. 3. Es seien weder Kosten zu erheben noch Parteientschädigungen zuzu- sprechen. Prozessualer Antrag Die vorliegende Stellungnahme sei der Beschwerdeführerin und allfäl- ligen anderen Verfahrensbeteiligten zwecks Gleichbehandlung erst nach Ablauf deren Vernehmlassungsfristen zuzustellen. I. Mit Eingabe vom 2. September 2019 teilte Y.1_____ (nachfolgend Be- schwerdegegner) seinen Vernehmlassungsverzicht mit. J. Mit Eingabe vom 13. September 2019 zeigte das Betreibungsamt Plessur unter Hinweis auf ein Schreiben des Lead-Betreibungsamtes Prättigau/Davos vom 12. September 2019 dem Kantonsgericht von Graubünden die Entlassung diver- ser Grundstücke aus dem Arrest an, insbesondere die Positionen 10.1 bis 10.2. K. Auf die weiteren Ausführungen in den Eingaben wird, soweit erforderlich, in den nachfolgenden Erwägungen eingegangen. II. Erwägungen 1.1. Beim Kantonsgericht von Graubünden sind diverse Aufsichtsbeschwerden hängig, die zu dem der vorliegenden Beschwerde zugrundeliegenden Sachverhalt einen engen Bezug aufweisen (vgl. KSK 19 53/54/56/59/60/61/62). In den Verfah- ren wird teilweise eine Vereinigung einzelner Verfahren beantragt. Zur Vereinfa- chung des Prozesses können unter anderem selbständig eingereichte Klagen ver- einigt werden (vgl. Art. 125 lit. c ZPO i.V.m. Art. 20a Abs. 3 SchKG i.V.m. Art. 17 Abs. 4 des Einführungsgesetzes zum Bundesgesetz über Schuldbetreibung und Konkurs [EGzSchKG; BR 220.000]). Eine Vereinigung der Verfahren (auch nur einzelner) erscheint dem Vorsitzenden der Aufsichtsbehörde über Schuldbetrei- bungs- und Konkurs des Kantonsgerichts von Graubünden nicht sachgemäss. Abgesehen davon, dass als Beschwerdegegner teilweise unterschiedliche Voll- zugsbehörden auftreten (Betreibungsämter Prättigau/Davos bzw. Plessur), würde eine Vereinigung der Beschwerdeverfahren eher zu einer Verkomplizierung führen. Denn die einzelnen Verfahren unterscheiden sich in spezifischen Aspek- ten, deren Ausarbeitung sowohl zu einer Aufblähung des Entscheides führten und</w:t>
      </w:r>
    </w:p>
    <w:p>
      <w:r>
        <w:rPr>
          <w:b/>
        </w:rPr>
        <w:t>E. 5</w:t>
      </w:r>
    </w:p>
    <w:p>
      <w:r>
        <w:t>/ 7 damit der Übersichtlichkeit des selben schaden würden. Auch würde die Vereini- gung die Fehleranfälligkeit akzentuieren. Letztlich ist auch nicht ersichtlich, dass durch die Vereinigung der Verfahren eine schnellere Verfahrenserledigung resul- tierte. Durch die koordinierte Behandlung der separat geführten Verfahren ist so- dann auch gewährleistet, dass keine sich widersprechenden Entscheide ergehen. Vor diesem Hintergrund sind die Verfahren nicht zu vereinigen. Dabei ist berück- sichtigt, dass die Parteien ihre Vernehmlassungen bereits eingereicht haben und ihnen auch bei getrennter Verfahrensführung keine Kosten auferlegt werden. 1.2. Mit seiner Beschwerde gemäss Art. 17 SchKG wendet sich die Beschwer- deführerin gegen den durch das Betreibungsamt Plessur rechtshilfeweise durch- geführten Arrestvollzug (Arrest Nr. _____; Requi Nr. _____) und verlangt dessen Aufhebung hinsichtlich der Ziffern 10.1 und 10.2 der Arresturkunde (vgl. act. A.1, Begehren Ziffer 1; Akten Betreibungsamt Plessur, Ordnerregister 2). Analog der Pfändung, welche Eingang in der Pfändungsurkunde findet, ist der Arrestvollzug, der seinen Niederschlag in der Arresturkunde findet, eine betreibungsamtliche Verfügung im Sinne von Art. 17 Abs. 1 SchKG und unterliegt insofern der dortigen Beschwerde an die Aufsichtsbehörde (vgl. auch Denise Weingart, Arrestabwehr – Die Stellung des Schuldners und des Dritten im Arrestverfahren, Diss., Bern 2015, N 561; Urs Boller, Abwehrmassnahmen: Arresteinsprache und Beschwerde, in: ZZZ 41/2017, S. 51). Darüber hinaus bildet auch die Arrestanzeige vom 16. Juli 2019, mit welcher der Beschwerdeführerin die Verarrestierung angezeigt wurden, Verfügung im formellen Sinne, die ohne weiteres anfechtbar ist (vgl. act. B.1). 1.3. Die Beschwerdefrist beträgt grundsätzlich zehn Tage ab Kenntnisnahme der Verfügung (Art. 17 Abs. 2 SchKG), es sei denn, sie werde wegen Rechtsver- weigerung oder Rechtsverzögerung geführt bzw. es wird Nichtigkeit der selbigen geltend gemacht (vgl. Art. 17 Abs. 3 SchKG und Art. 22 Abs. 1 SchKG). In casu wurde der Beschwerdeführerin mit Schreiben 16. Juli 2019 die Arrestlegung be- treffend die Ziffer 10.1 und 10.2 gemäss Arrestbefehl zur Kenntnis gebracht (act. B.1). Die Beschwerde vom 26. Juli 2019 wurde damit innert Frist erhoben. Eine allfällige Nichtigkeit wäre jederzeit von Amtes wegen zu prüfen (vgl. Art. 22 Abs. 1 SchKG). Darüber hinaus erfolgte die Beschwerde beim Kantonsgericht von Graubünden als einzige Aufsichtsbehörde bei der hierfür zuständigen Behörde (vgl. Art. 17 Abs. 1 SchKG i.V.m. Art. 13 EGzSchKG). 1.4. Die Legitimationsfrage zur Erhebung der betreibungsrechtlichen Aufsichts- beschwerde ist nicht ausdrücklich geregelt, bildet aber dennoch unumgängliche Prozessvoraussetzung für deren Erhebung. Nach Rechtsprechung und Lehre be- sitzt ein legitimationsbegründendes schutzwürdiges Interesse, wer durch die ange-</w:t>
      </w:r>
    </w:p>
    <w:p>
      <w:r>
        <w:rPr>
          <w:b/>
        </w:rPr>
        <w:t>E. 6</w:t>
      </w:r>
    </w:p>
    <w:p>
      <w:r>
        <w:t>/ 7 fochtene Verfügung eines Vollstreckungsorganes in seinen rechtlich geschützten oder zumindest tatsächlichen Interessen betroffen und dadurch beschwert ist (Ur- teil des Bundesgerichts 5A_494/2010 vom 12. November 2010 E. .1; BGE 129 III 595 E. 3. m.w.H.). Ein schutzwürdiges Interesse hat namentlich auch der Drittan- sprecher des Arrestobjekts gegen den Arrestvollzug als solchen (vgl. BGE 115 IIII 125 E. 2. und 3 = Pra 79 Nr. 175; BGE 113 III 139 E. 3.b = Pra 78 Nr. 117). Zu beachten ist, dass infolge Mehrfachverweis die Bestimmungen der ZPO für das Verfahren vor der kantonalen Aufsichtsbehörde – als kantonales Verfahrensrecht – zur Anwendung gelangen, wenn weder der Bund noch der Kanton spezifischen Regeln vorsieht (vgl. Art. 17 Abs. 4 EGzSchKG i.V.m. 20a Abs. 3 SchKG).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Auflage, Zürich 2015, N 1 zu Art. 242 ZPO). Vor dem Hintergrund des Gesagten ist die Beschwerdeführerin durch den Arrest- vollzug als (formelle) Dritteigentümerin der Arrestgrundstücke (Nr. 10.1 und 10.2) und als Adressatin der ihr gegenüber verfügten Anzeige (act. B.1) in ihren Rech- ten betroffen und damit grundsätzlich zur Erhebung der Beschwerde legitimiert. Indessen gilt zu beachten, dass das Betreibungsamt Plessur mit Eingabe vom 13. September 2019 der Aufsichtsbehörde über Schuldbetreibung und Konkurs mitteil- te, dass das Betreibungsamt Prättigau/Davos den Arrest betreffend der arrestier- ten Grundstücke Nr. 10.1 und 10.2 (vgl. act. B.1) aufgehoben habe (vgl. act. E.2 und E.5). Da sich die Beschwerde nur gegen den Arrestvollzug hinsichtlich dieser Grundstücke richtete, ist die Beschwerde infolge Wegfalls der Beschwer als ge- genstandslos geworden abzuschreiben. 2. Bei diesem Ausgang des Verfahrens wird ein Entscheid über das Gesuch um aufschiebende Wirkung obsolet. 3. Die Verfügung ergeht in einzelrichterlicher Kompetenz (Art. 18 Abs. 3 des Gerichtsorganisationsgesetzes (GOG; BR 173.000). 4. Das Beschwerdeverfahren nach Art. 17 SchKG ist – abgesehen von hier nicht einschlägigen Ausnahmen – kostenlos (vgl. Art. 17 Abs. 2 Ziff. 5 SchKG); Parteientschädigungen dürfen keine gesprochen werden (vgl. Art. 62 Abs. 2 GebVSchKG). Die intern zu verbuchenden Kosten von CHF 500.00 für das Be- schwerdeverfahren verbleiben beim Kanton Graubünden.</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